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28575" distL="0" distR="19050" simplePos="0" locked="0" layoutInCell="0" allowOverlap="1" relativeHeight="2" wp14:anchorId="7C10DFFE">
                <wp:simplePos x="0" y="0"/>
                <wp:positionH relativeFrom="column">
                  <wp:posOffset>-112395</wp:posOffset>
                </wp:positionH>
                <wp:positionV relativeFrom="paragraph">
                  <wp:posOffset>257810</wp:posOffset>
                </wp:positionV>
                <wp:extent cx="7143750" cy="866775"/>
                <wp:effectExtent l="6350" t="6985" r="6350" b="5715"/>
                <wp:wrapNone/>
                <wp:docPr id="1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840" cy="866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5" path="m0,0l-2147483645,0l-2147483645,-2147483646l0,-2147483646xe" fillcolor="#9dc3e6" stroked="t" o:allowincell="f" style="position:absolute;margin-left:-8.85pt;margin-top:20.3pt;width:562.45pt;height:68.2pt;mso-wrap-style:none;v-text-anchor:middle" wp14:anchorId="7C10DFFE">
                <v:fill o:detectmouseclick="t" type="solid" color2="#623c19"/>
                <v:stroke color="#9dc3e6" weight="12600" joinstyle="miter" endcap="flat"/>
                <w10:wrap type="none"/>
              </v:rect>
            </w:pict>
          </mc:Fallback>
        </mc:AlternateContent>
      </w:r>
      <w:r>
        <w:rPr/>
        <w:t>　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C78A8E6">
                <wp:simplePos x="0" y="0"/>
                <wp:positionH relativeFrom="column">
                  <wp:posOffset>-93345</wp:posOffset>
                </wp:positionH>
                <wp:positionV relativeFrom="paragraph">
                  <wp:posOffset>181610</wp:posOffset>
                </wp:positionV>
                <wp:extent cx="7124700" cy="628650"/>
                <wp:effectExtent l="0" t="0" r="0" b="0"/>
                <wp:wrapNone/>
                <wp:docPr id="2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60" cy="62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sz w:val="40"/>
                              </w:rPr>
                              <w:t>犬山市新規就農支援補助金のご案内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stroked="f" o:allowincell="f" style="position:absolute;margin-left:-7.35pt;margin-top:14.3pt;width:560.95pt;height:49.45pt;mso-wrap-style:square;v-text-anchor:top" wp14:anchorId="4C78A8E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ＭＳ Ｐゴシック" w:hAnsi="ＭＳ Ｐゴシック" w:eastAsia="ＭＳ Ｐゴシック"/>
                          <w:b/>
                          <w:b/>
                          <w:sz w:val="4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sz w:val="40"/>
                        </w:rPr>
                        <w:t>犬山市新規就農支援補助金のご案内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9050" distL="0" distR="19050" simplePos="0" locked="0" layoutInCell="0" allowOverlap="1" relativeHeight="5" wp14:anchorId="798ED86B">
                <wp:simplePos x="0" y="0"/>
                <wp:positionH relativeFrom="column">
                  <wp:posOffset>-93345</wp:posOffset>
                </wp:positionH>
                <wp:positionV relativeFrom="paragraph">
                  <wp:posOffset>257810</wp:posOffset>
                </wp:positionV>
                <wp:extent cx="7124700" cy="800100"/>
                <wp:effectExtent l="11430" t="11430" r="11430" b="11430"/>
                <wp:wrapNone/>
                <wp:docPr id="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60" cy="80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exact" w:line="500"/>
                              <w:rPr>
                                <w:rFonts w:ascii="ＭＳ Ｐゴシック" w:hAnsi="ＭＳ Ｐゴシック" w:eastAsia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32"/>
                              </w:rPr>
                              <w:t>　これから農業を始めるにあたり必要な資材など、初期投資にかかる費用を支援し、新規就農の促進を行います。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-7.35pt;margin-top:20.3pt;width:560.95pt;height:62.95pt;mso-wrap-style:square;v-text-anchor:top" wp14:anchorId="798ED86B">
                <v:fill o:detectmouseclick="t" type="solid" color2="black"/>
                <v:stroke color="#9dc3e6" weight="22320" joinstyle="round" endcap="flat"/>
                <v:textbox>
                  <w:txbxContent>
                    <w:p>
                      <w:pPr>
                        <w:pStyle w:val="Style26"/>
                        <w:spacing w:lineRule="exact" w:line="500"/>
                        <w:rPr>
                          <w:rFonts w:ascii="ＭＳ Ｐゴシック" w:hAnsi="ＭＳ Ｐゴシック" w:eastAsia="ＭＳ Ｐゴシック"/>
                          <w:sz w:val="32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sz w:val="32"/>
                        </w:rPr>
                        <w:t>　これから農業を始めるにあたり必要な資材など、初期投資にかかる費用を支援し、新規就農の促進を行います。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b/>
          <w:b/>
          <w:sz w:val="32"/>
          <w:szCs w:val="24"/>
        </w:rPr>
      </w:pPr>
      <w:r>
        <w:rPr>
          <w:rFonts w:ascii="ＭＳ Ｐゴシック" w:hAnsi="ＭＳ Ｐゴシック" w:eastAsia="ＭＳ Ｐゴシック"/>
          <w:b/>
          <w:sz w:val="32"/>
          <w:szCs w:val="24"/>
        </w:rPr>
        <w:t>１　制度の概要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（１）対象者は次のすべての要件を満たす個人または団体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①　農地の権利設定により市内で耕作している、または、令和</w:t>
      </w:r>
      <w:r>
        <w:rPr>
          <w:rFonts w:eastAsia="ＭＳ Ｐゴシック" w:ascii="ＭＳ Ｐゴシック" w:hAnsi="ＭＳ Ｐゴシック"/>
          <w:sz w:val="24"/>
          <w:szCs w:val="24"/>
        </w:rPr>
        <w:t>6</w:t>
      </w:r>
      <w:r>
        <w:rPr>
          <w:rFonts w:ascii="ＭＳ Ｐゴシック" w:hAnsi="ＭＳ Ｐゴシック" w:eastAsia="ＭＳ Ｐゴシック"/>
          <w:sz w:val="24"/>
          <w:szCs w:val="24"/>
        </w:rPr>
        <w:t>年度中に耕作を開始する予定である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②　自ら生産した農作物を販売する計画がある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③　販売を目的とした耕作を開始してから</w:t>
      </w:r>
      <w:r>
        <w:rPr>
          <w:rFonts w:eastAsia="ＭＳ Ｐゴシック" w:ascii="ＭＳ Ｐゴシック" w:hAnsi="ＭＳ Ｐゴシック"/>
          <w:sz w:val="24"/>
          <w:szCs w:val="24"/>
        </w:rPr>
        <w:t>5</w:t>
      </w:r>
      <w:r>
        <w:rPr>
          <w:rFonts w:ascii="ＭＳ Ｐゴシック" w:hAnsi="ＭＳ Ｐゴシック" w:eastAsia="ＭＳ Ｐゴシック"/>
          <w:sz w:val="24"/>
          <w:szCs w:val="24"/>
        </w:rPr>
        <w:t>年以内である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④　経営発展支援事業に関する補助金を受給していない、又は過去受給したことがない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（２）支援の内容</w:t>
      </w:r>
    </w:p>
    <w:p>
      <w:pPr>
        <w:pStyle w:val="Normal"/>
        <w:spacing w:lineRule="exact" w:line="400"/>
        <w:ind w:left="480" w:hanging="48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市内農地で新たに農業を開始するために必要な次の経費（ただし、消費税及び地方消費税相当額を除く）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①　農業用資材の購入に要する経費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</w:rPr>
        <w:t>　　　　②　農業用機械及び農業用器具の購入に要する経費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③　</w:t>
      </w:r>
      <w:r>
        <w:rPr>
          <w:rFonts w:ascii="ＭＳ Ｐゴシック" w:hAnsi="ＭＳ Ｐゴシック" w:eastAsia="ＭＳ Ｐゴシック"/>
          <w:sz w:val="24"/>
        </w:rPr>
        <w:t>農業用施設の整備に要する経費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（３）補助額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１の（２）の①～③に掲げる経費の合計額の２分の１。ただし、３０万円を上限とします。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b/>
          <w:b/>
          <w:sz w:val="32"/>
          <w:szCs w:val="24"/>
        </w:rPr>
      </w:pPr>
      <w:r>
        <w:rPr>
          <w:rFonts w:ascii="ＭＳ Ｐゴシック" w:hAnsi="ＭＳ Ｐゴシック" w:eastAsia="ＭＳ Ｐゴシック"/>
          <w:b/>
          <w:sz w:val="32"/>
          <w:szCs w:val="24"/>
        </w:rPr>
        <w:t>２　必要書類　</w:t>
      </w:r>
    </w:p>
    <w:p>
      <w:pPr>
        <w:pStyle w:val="Normal"/>
        <w:spacing w:lineRule="exact" w:line="400"/>
        <w:ind w:firstLine="48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①</w:t>
      </w:r>
      <w:r>
        <w:rPr>
          <w:rFonts w:ascii="ＭＳ Ｐゴシック" w:hAnsi="ＭＳ Ｐゴシック" w:eastAsia="ＭＳ Ｐゴシック"/>
          <w:sz w:val="24"/>
          <w:szCs w:val="24"/>
        </w:rPr>
        <w:t>申請書（ 市</w:t>
      </w:r>
      <w:r>
        <w:rPr>
          <w:rFonts w:eastAsia="ＭＳ Ｐゴシック" w:ascii="ＭＳ Ｐゴシック" w:hAnsi="ＭＳ Ｐゴシック"/>
          <w:sz w:val="24"/>
          <w:szCs w:val="24"/>
        </w:rPr>
        <w:t>HP</w:t>
      </w:r>
      <w:r>
        <w:rPr>
          <w:rFonts w:ascii="ＭＳ Ｐゴシック" w:hAnsi="ＭＳ Ｐゴシック" w:eastAsia="ＭＳ Ｐゴシック"/>
          <w:sz w:val="24"/>
          <w:szCs w:val="24"/>
        </w:rPr>
        <w:t>からダウンロード可能です ）</w:t>
      </w:r>
    </w:p>
    <w:p>
      <w:pPr>
        <w:pStyle w:val="Normal"/>
        <w:spacing w:lineRule="exact" w:line="400"/>
        <w:ind w:firstLine="48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②</w:t>
      </w:r>
      <w:r>
        <w:rPr>
          <w:rFonts w:ascii="ＭＳ Ｐゴシック" w:hAnsi="ＭＳ Ｐゴシック" w:eastAsia="ＭＳ Ｐゴシック"/>
          <w:sz w:val="24"/>
          <w:szCs w:val="24"/>
        </w:rPr>
        <w:t>計画書（ 市</w:t>
      </w:r>
      <w:r>
        <w:rPr>
          <w:rFonts w:eastAsia="ＭＳ Ｐゴシック" w:ascii="ＭＳ Ｐゴシック" w:hAnsi="ＭＳ Ｐゴシック"/>
          <w:sz w:val="24"/>
          <w:szCs w:val="24"/>
        </w:rPr>
        <w:t>HP</w:t>
      </w:r>
      <w:r>
        <w:rPr>
          <w:rFonts w:ascii="ＭＳ Ｐゴシック" w:hAnsi="ＭＳ Ｐゴシック" w:eastAsia="ＭＳ Ｐゴシック"/>
          <w:sz w:val="24"/>
          <w:szCs w:val="24"/>
        </w:rPr>
        <w:t>からダウンロード可能です ）</w:t>
      </w:r>
    </w:p>
    <w:p>
      <w:pPr>
        <w:pStyle w:val="Normal"/>
        <w:spacing w:lineRule="exact" w:line="400"/>
        <w:ind w:firstLine="480"/>
        <w:rPr>
          <w:rFonts w:ascii="ＭＳ Ｐゴシック" w:hAnsi="ＭＳ Ｐゴシック" w:eastAsia="ＭＳ Ｐゴシック"/>
          <w:sz w:val="24"/>
          <w:szCs w:val="24"/>
          <w:highlight w:val="lightGray"/>
        </w:rPr>
      </w:pPr>
      <w:r>
        <w:rPr>
          <w:rFonts w:ascii="ＭＳ Ｐゴシック" w:hAnsi="ＭＳ Ｐゴシック" w:eastAsia="ＭＳ Ｐゴシック"/>
          <w:sz w:val="24"/>
          <w:szCs w:val="24"/>
        </w:rPr>
        <w:t>③</w:t>
      </w:r>
      <w:r>
        <w:rPr>
          <w:rFonts w:ascii="ＭＳ Ｐゴシック" w:hAnsi="ＭＳ Ｐゴシック" w:eastAsia="ＭＳ Ｐゴシック"/>
          <w:sz w:val="24"/>
          <w:szCs w:val="24"/>
        </w:rPr>
        <w:t>見積書の写し</w:t>
      </w:r>
    </w:p>
    <w:p>
      <w:pPr>
        <w:pStyle w:val="Normal"/>
        <w:spacing w:lineRule="exact" w:line="400"/>
        <w:ind w:firstLine="48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④</w:t>
      </w:r>
      <w:r>
        <w:rPr>
          <w:rFonts w:ascii="ＭＳ Ｐゴシック" w:hAnsi="ＭＳ Ｐゴシック" w:eastAsia="ＭＳ Ｐゴシック"/>
          <w:sz w:val="24"/>
          <w:szCs w:val="24"/>
        </w:rPr>
        <w:t>仕様がわかるもの</w:t>
      </w:r>
      <w:r>
        <w:rPr>
          <w:rFonts w:ascii="ＭＳ Ｐゴシック" w:hAnsi="ＭＳ Ｐゴシック" w:eastAsia="ＭＳ Ｐゴシック"/>
          <w:b/>
          <w:sz w:val="24"/>
          <w:szCs w:val="24"/>
        </w:rPr>
        <w:t xml:space="preserve">（ </w:t>
      </w:r>
      <w:r>
        <w:rPr>
          <w:rFonts w:ascii="ＭＳ Ｐゴシック" w:hAnsi="ＭＳ Ｐゴシック" w:eastAsia="ＭＳ Ｐゴシック"/>
          <w:sz w:val="24"/>
          <w:szCs w:val="24"/>
        </w:rPr>
        <w:t>１の（２）の②及び③の場合のみ</w:t>
      </w:r>
      <w:r>
        <w:rPr>
          <w:rFonts w:ascii="ＭＳ Ｐゴシック" w:hAnsi="ＭＳ Ｐゴシック" w:eastAsia="ＭＳ Ｐゴシック"/>
          <w:b/>
          <w:sz w:val="24"/>
          <w:szCs w:val="24"/>
        </w:rPr>
        <w:t xml:space="preserve"> ）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b/>
          <w:b/>
          <w:sz w:val="32"/>
          <w:szCs w:val="24"/>
        </w:rPr>
      </w:pPr>
      <w:r>
        <w:rPr>
          <w:rFonts w:eastAsia="ＭＳ Ｐゴシック" w:ascii="ＭＳ Ｐゴシック" w:hAnsi="ＭＳ Ｐゴシック"/>
          <w:b/>
          <w:sz w:val="32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b/>
          <w:b/>
          <w:sz w:val="32"/>
          <w:szCs w:val="24"/>
        </w:rPr>
      </w:pPr>
      <w:r>
        <w:rPr>
          <w:rFonts w:ascii="ＭＳ Ｐゴシック" w:hAnsi="ＭＳ Ｐゴシック" w:eastAsia="ＭＳ Ｐゴシック"/>
          <w:b/>
          <w:sz w:val="32"/>
          <w:szCs w:val="24"/>
        </w:rPr>
        <w:t>３　事業のスケジュール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（１）農業者から補助金の申請　　　　　　　　　　令和６年６月１９日（水）締切り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（２）市から農業者へ補助金の交付決定　　　　令和６年７月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（３）農業者から実績報告</w:t>
      </w:r>
      <w:r>
        <w:rPr>
          <w:rFonts w:ascii="ＭＳ Ｐゴシック" w:hAnsi="ＭＳ Ｐゴシック" w:eastAsia="ＭＳ Ｐゴシック"/>
          <w:color w:val="FFFFFF" w:themeColor="background1"/>
          <w:sz w:val="24"/>
          <w:szCs w:val="24"/>
        </w:rPr>
        <w:t>■■</w:t>
      </w:r>
      <w:r>
        <w:rPr>
          <w:rFonts w:ascii="ＭＳ Ｐゴシック" w:hAnsi="ＭＳ Ｐゴシック" w:eastAsia="ＭＳ Ｐゴシック"/>
          <w:sz w:val="24"/>
          <w:szCs w:val="24"/>
        </w:rPr>
        <w:t>　　　　　　　　　　令和６年８月～令和６年９月下旬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（４）農業者から補助金請求</w:t>
      </w:r>
      <w:r>
        <w:rPr>
          <w:rFonts w:ascii="ＭＳ Ｐゴシック" w:hAnsi="ＭＳ Ｐゴシック" w:eastAsia="ＭＳ Ｐゴシック"/>
          <w:color w:val="FFFFFF" w:themeColor="background1"/>
          <w:sz w:val="24"/>
          <w:szCs w:val="24"/>
        </w:rPr>
        <w:t>■</w:t>
      </w:r>
      <w:r>
        <w:rPr>
          <w:rFonts w:ascii="ＭＳ Ｐゴシック" w:hAnsi="ＭＳ Ｐゴシック" w:eastAsia="ＭＳ Ｐゴシック"/>
          <w:sz w:val="24"/>
          <w:szCs w:val="24"/>
        </w:rPr>
        <w:t>　　　　　　　　　　令和６年９月下旬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（５）市から農業者へ補助金の支払い</w:t>
      </w:r>
      <w:r>
        <w:rPr>
          <w:rFonts w:ascii="ＭＳ Ｐゴシック" w:hAnsi="ＭＳ Ｐゴシック" w:eastAsia="ＭＳ Ｐゴシック"/>
          <w:color w:val="FFFFFF" w:themeColor="background1"/>
          <w:sz w:val="24"/>
          <w:szCs w:val="24"/>
        </w:rPr>
        <w:t>■</w:t>
      </w:r>
      <w:r>
        <w:rPr>
          <w:rFonts w:ascii="ＭＳ Ｐゴシック" w:hAnsi="ＭＳ Ｐゴシック" w:eastAsia="ＭＳ Ｐゴシック"/>
          <w:sz w:val="24"/>
          <w:szCs w:val="24"/>
        </w:rPr>
        <w:t>　　　　令和６年１０月下旬</w: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  <mc:AlternateContent>
          <mc:Choice Requires="wpg">
            <w:drawing>
              <wp:anchor behindDoc="0" distT="0" distB="19050" distL="0" distR="25400" simplePos="0" locked="0" layoutInCell="0" allowOverlap="1" relativeHeight="7" wp14:anchorId="5215ED22">
                <wp:simplePos x="0" y="0"/>
                <wp:positionH relativeFrom="column">
                  <wp:posOffset>181610</wp:posOffset>
                </wp:positionH>
                <wp:positionV relativeFrom="paragraph">
                  <wp:posOffset>153035</wp:posOffset>
                </wp:positionV>
                <wp:extent cx="6337935" cy="2952750"/>
                <wp:effectExtent l="6985" t="6350" r="5715" b="6350"/>
                <wp:wrapNone/>
                <wp:docPr id="6" name="グループ化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800" cy="2952720"/>
                          <a:chOff x="0" y="0"/>
                          <a:chExt cx="6337800" cy="295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800" cy="2952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0033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（１）農業用資材の購入に要する経費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・土壌改良に必要な「たい肥」、「石灰」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・作付けに必要な「肥料」、「種苗」、「マルチ」等の資材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・出荷の際に必要な「パレット」等の資材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（２）農業用機械の購入費及び賃借料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・耕運機、収穫用の機械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・耕作や農地改良に必要な重機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（３）農業用施設の整備に要する経費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・農業用ハウス、農業用機械を保管する倉庫</w:t>
                              </w:r>
                            </w:p>
                            <w:p>
                              <w:pPr>
                                <w:pStyle w:val="Normal"/>
                                <w:spacing w:lineRule="exact" w:line="1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　　　　　※この他の経費が支援の対象になるかの確認は、下記までご相談ください。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032560" cy="42372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6350">
                            <a:solidFill>
                              <a:srgbClr val="00336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rFonts w:ascii="ＭＳ Ｐゴシック" w:hAnsi="ＭＳ Ｐゴシック" w:eastAsia="ＭＳ Ｐゴシック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color w:val="FFFFFF" w:themeColor="background1"/>
                                  <w:sz w:val="24"/>
                                </w:rPr>
                                <w:t>支援の対象となる経費の例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2" style="position:absolute;margin-left:14.3pt;margin-top:12.05pt;width:499.05pt;height:232.5pt" coordorigin="286,241" coordsize="9981,4650">
                <v:rect id="shape_0" ID="テキスト ボックス 7" path="m0,0l-2147483645,0l-2147483645,-2147483646l0,-2147483646xe" fillcolor="white" stroked="t" o:allowincell="f" style="position:absolute;left:286;top:241;width:9980;height:4649;mso-wrap-style:square;v-text-anchor:top">
                  <v:fill o:detectmouseclick="t" type="solid" color2="black"/>
                  <v:stroke color="#003366" weight="12600" joinstyle="round" endcap="flat"/>
                  <v:textbox>
                    <w:txbxContent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（１）農業用資材の購入に要する経費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・土壌改良に必要な「たい肥」、「石灰」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・作付けに必要な「肥料」、「種苗」、「マルチ」等の資材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・出荷の際に必要な「パレット」等の資材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（２）農業用機械の購入費及び賃借料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・耕運機、収穫用の機械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・耕作や農地改良に必要な重機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（３）農業用施設の整備に要する経費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・農業用ハウス、農業用機械を保管する倉庫</w:t>
                        </w:r>
                      </w:p>
                      <w:p>
                        <w:pPr>
                          <w:pStyle w:val="Normal"/>
                          <w:spacing w:lineRule="exact" w:line="1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　　　　　※この他の経費が支援の対象になるかの確認は、下記までご相談ください。</w:t>
                        </w:r>
                      </w:p>
                    </w:txbxContent>
                  </v:textbox>
                  <w10:wrap type="none"/>
                </v:rect>
                <v:rect id="shape_0" ID="テキスト ボックス 6" path="m0,0l-2147483645,0l-2147483645,-2147483646l0,-2147483646xe" fillcolor="#003366" stroked="t" o:allowincell="f" style="position:absolute;left:286;top:241;width:3200;height:666;mso-wrap-style:square;v-text-anchor:top">
                  <v:fill o:detectmouseclick="t" type="solid" color2="#ffcc99"/>
                  <v:stroke color="#003366" weight="6480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rFonts w:ascii="ＭＳ Ｐゴシック" w:hAnsi="ＭＳ Ｐゴシック" w:eastAsia="ＭＳ Ｐゴシック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color w:val="FFFFFF" w:themeColor="background1"/>
                            <w:sz w:val="24"/>
                          </w:rPr>
                          <w:t>支援の対象となる経費の例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spacing w:lineRule="exact" w:line="40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  <mc:AlternateContent>
          <mc:Choice Requires="wpg">
            <w:drawing>
              <wp:anchor behindDoc="0" distT="0" distB="28575" distL="0" distR="25400" simplePos="0" locked="0" layoutInCell="0" allowOverlap="1" relativeHeight="10" wp14:anchorId="14360020">
                <wp:simplePos x="0" y="0"/>
                <wp:positionH relativeFrom="column">
                  <wp:posOffset>192405</wp:posOffset>
                </wp:positionH>
                <wp:positionV relativeFrom="paragraph">
                  <wp:posOffset>124460</wp:posOffset>
                </wp:positionV>
                <wp:extent cx="6337300" cy="4105275"/>
                <wp:effectExtent l="6350" t="6985" r="6350" b="5715"/>
                <wp:wrapNone/>
                <wp:docPr id="9" name="グループ化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40" cy="4105440"/>
                          <a:chOff x="0" y="0"/>
                          <a:chExt cx="6337440" cy="4105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7440" cy="410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4472c4">
                                <a:lumMod val="75000"/>
                              </a:srgbClr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（質問）農産物の販売先はどのようなところがありますか。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（答え）スーパーマーケット等の小売り店、朝市等販売先は特に指定はありません。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（質問）本業は別にあり、兼業農家として農業を始めたいが補助金の対象になりますか。</w:t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（答え）自ら生産した農作物を販売する目的で農業を開始する場合は、補助金の対象になります。（自家消費の場合は対象外です。）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（質問）他市町で５年以上前から農業の経験があるが、これから犬山市で農業を始める場合は補助金の対象になりますか。</w:t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（答え）すでに５年以上の農業経験がある場合は対象になりません。</w:t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sz w:val="24"/>
                                  <w:szCs w:val="24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（質問）今年度に農地を借りて栽培を始めるが、販売が来年度以降の予定の場合、補助の対象になるか。</w:t>
                              </w:r>
                            </w:p>
                            <w:p>
                              <w:pPr>
                                <w:pStyle w:val="Normal"/>
                                <w:ind w:left="720" w:hanging="720"/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hAnsi="ＭＳ Ｐゴシック" w:eastAsia="ＭＳ Ｐゴシック"/>
                                  <w:sz w:val="24"/>
                                  <w:szCs w:val="24"/>
                                </w:rPr>
                                <w:t>（答え）農作物を栽培し販売に至るまでに一定期間必要であることから、販売時期が申請年度以降になる場合も補助金の対象としています。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528560" cy="4586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">
                            <a:solidFill>
                              <a:srgbClr val="4472c4">
                                <a:lumMod val="75000"/>
                              </a:srgbClr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rFonts w:ascii="ＭＳ Ｐゴシック" w:hAnsi="ＭＳ Ｐゴシック" w:eastAsia="ＭＳ Ｐゴシック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eastAsia="ＭＳ Ｐゴシック" w:ascii="ＭＳ Ｐゴシック" w:hAnsi="ＭＳ Ｐゴシック"/>
                                  <w:color w:val="FFFFFF" w:themeColor="background1"/>
                                  <w:sz w:val="24"/>
                                </w:rPr>
                                <w:t>Q &amp; A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11" style="position:absolute;margin-left:15.15pt;margin-top:9.8pt;width:499pt;height:323.25pt" coordorigin="303,196" coordsize="9980,6465">
                <v:rect id="shape_0" ID="テキスト ボックス 9" path="m0,0l-2147483645,0l-2147483645,-2147483646l0,-2147483646xe" fillcolor="white" stroked="t" o:allowincell="f" style="position:absolute;left:303;top:196;width:9979;height:6464;mso-wrap-style:square;v-text-anchor:top">
                  <v:fill o:detectmouseclick="t" type="solid" color2="black"/>
                  <v:stroke color="#2f5597" weight="12600" joinstyle="round" endcap="flat"/>
                  <v:textbox>
                    <w:txbxContent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（質問）農産物の販売先はどのようなところがありますか。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（答え）スーパーマーケット等の小売り店、朝市等販売先は特に指定はありません。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（質問）本業は別にあり、兼業農家として農業を始めたいが補助金の対象になりますか。</w:t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（答え）自ら生産した農作物を販売する目的で農業を開始する場合は、補助金の対象になります。（自家消費の場合は対象外です。）</w:t>
                        </w:r>
                      </w:p>
                      <w:p>
                        <w:pPr>
                          <w:pStyle w:val="Normal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（質問）他市町で５年以上前から農業の経験があるが、これから犬山市で農業を始める場合は補助金の対象になりますか。</w:t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（答え）すでに５年以上の農業経験がある場合は対象になりません。</w:t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（質問）今年度に農地を借りて栽培を始めるが、販売が来年度以降の予定の場合、補助の対象になるか。</w:t>
                        </w:r>
                      </w:p>
                      <w:p>
                        <w:pPr>
                          <w:pStyle w:val="Normal"/>
                          <w:ind w:left="720" w:hanging="720"/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hAnsi="ＭＳ Ｐゴシック" w:eastAsia="ＭＳ Ｐゴシック"/>
                            <w:sz w:val="24"/>
                            <w:szCs w:val="24"/>
                          </w:rPr>
                          <w:t>（答え）農作物を栽培し販売に至るまでに一定期間必要であることから、販売時期が申請年度以降になる場合も補助金の対象としています。</w:t>
                        </w:r>
                      </w:p>
                    </w:txbxContent>
                  </v:textbox>
                  <w10:wrap type="none"/>
                </v:rect>
                <v:rect id="shape_0" ID="テキスト ボックス 10" path="m0,0l-2147483645,0l-2147483645,-2147483646l0,-2147483646xe" fillcolor="#2f5597" stroked="t" o:allowincell="f" style="position:absolute;left:303;top:196;width:2406;height:721;mso-wrap-style:square;v-text-anchor:top">
                  <v:fill o:detectmouseclick="t" type="solid" color2="#d0aa68"/>
                  <v:stroke color="#2f5597" weight="6480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rFonts w:ascii="ＭＳ Ｐゴシック" w:hAnsi="ＭＳ Ｐゴシック" w:eastAsia="ＭＳ Ｐゴシック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eastAsia="ＭＳ Ｐゴシック" w:ascii="ＭＳ Ｐゴシック" w:hAnsi="ＭＳ Ｐゴシック"/>
                            <w:color w:val="FFFFFF" w:themeColor="background1"/>
                            <w:sz w:val="24"/>
                          </w:rPr>
                          <w:t>Q &amp; A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eastAsia="ＭＳ Ｐゴシック" w:ascii="ＭＳ Ｐゴシック" w:hAnsi="ＭＳ Ｐゴシック"/>
          <w:sz w:val="24"/>
          <w:szCs w:val="24"/>
        </w:rPr>
        <mc:AlternateContent>
          <mc:Choice Requires="wps">
            <w:drawing>
              <wp:anchor behindDoc="0" distT="0" distB="28575" distL="0" distR="19050" simplePos="0" locked="0" layoutInCell="0" allowOverlap="1" relativeHeight="13" wp14:anchorId="48637AD2">
                <wp:simplePos x="0" y="0"/>
                <wp:positionH relativeFrom="column">
                  <wp:posOffset>192405</wp:posOffset>
                </wp:positionH>
                <wp:positionV relativeFrom="paragraph">
                  <wp:posOffset>143510</wp:posOffset>
                </wp:positionV>
                <wp:extent cx="5334000" cy="866775"/>
                <wp:effectExtent l="6350" t="6985" r="6350" b="5715"/>
                <wp:wrapNone/>
                <wp:docPr id="12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86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4" path="m0,0l-2147483645,0l-2147483645,-2147483646l0,-2147483646xe" stroked="t" o:allowincell="f" style="position:absolute;margin-left:15.15pt;margin-top:11.3pt;width:419.95pt;height:68.2pt;mso-wrap-style:none;v-text-anchor:middle" wp14:anchorId="48637AD2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ind w:firstLine="480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問い合わせ先　犬山市役所経済環境部産業課</w:t>
      </w:r>
      <w:bookmarkStart w:id="0" w:name="_GoBack"/>
      <w:bookmarkEnd w:id="0"/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電話　　０５６８－４４－０３４１　　　 ファクス　　０５６８－４４－０３６７</w:t>
      </w:r>
    </w:p>
    <w:p>
      <w:pPr>
        <w:pStyle w:val="Normal"/>
        <w:rPr>
          <w:rFonts w:ascii="ＭＳ Ｐゴシック" w:hAnsi="ＭＳ Ｐゴシック" w:eastAsia="ＭＳ Ｐゴシック"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　　　　</w:t>
      </w:r>
      <w:r>
        <w:rPr>
          <w:rFonts w:eastAsia="ＭＳ Ｐゴシック" w:ascii="ＭＳ Ｐゴシック" w:hAnsi="ＭＳ Ｐゴシック"/>
          <w:sz w:val="24"/>
          <w:szCs w:val="24"/>
        </w:rPr>
        <w:t>Email</w:t>
      </w:r>
      <w:r>
        <w:rPr>
          <w:rFonts w:ascii="ＭＳ Ｐゴシック" w:hAnsi="ＭＳ Ｐゴシック" w:eastAsia="ＭＳ Ｐゴシック"/>
          <w:sz w:val="24"/>
          <w:szCs w:val="24"/>
        </w:rPr>
        <w:t>　 ０４０９００＠</w:t>
      </w:r>
      <w:r>
        <w:rPr>
          <w:rFonts w:eastAsia="ＭＳ Ｐゴシック" w:ascii="ＭＳ Ｐゴシック" w:hAnsi="ＭＳ Ｐゴシック"/>
          <w:sz w:val="24"/>
          <w:szCs w:val="24"/>
        </w:rPr>
        <w:t>city.inuyama.lg.jp</w:t>
      </w:r>
    </w:p>
    <w:sectPr>
      <w:type w:val="nextPage"/>
      <w:pgSz w:w="11906" w:h="16838"/>
      <w:pgMar w:left="567" w:right="284" w:gutter="0" w:header="0" w:top="284" w:footer="0" w:bottom="28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7b85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6d20a4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963b38"/>
    <w:rPr/>
  </w:style>
  <w:style w:type="character" w:styleId="Style16" w:customStyle="1">
    <w:name w:val="フッター (文字)"/>
    <w:basedOn w:val="DefaultParagraphFont"/>
    <w:uiPriority w:val="99"/>
    <w:qFormat/>
    <w:rsid w:val="00963b38"/>
    <w:rPr/>
  </w:style>
  <w:style w:type="character" w:styleId="Style17" w:customStyle="1">
    <w:name w:val="日付 (文字)"/>
    <w:basedOn w:val="DefaultParagraphFont"/>
    <w:link w:val="Date"/>
    <w:uiPriority w:val="99"/>
    <w:semiHidden/>
    <w:qFormat/>
    <w:rsid w:val="006d2e8f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d20a4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963b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6"/>
    <w:uiPriority w:val="99"/>
    <w:unhideWhenUsed/>
    <w:rsid w:val="00963b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next w:val="Normal"/>
    <w:link w:val="Style17"/>
    <w:uiPriority w:val="99"/>
    <w:semiHidden/>
    <w:unhideWhenUsed/>
    <w:qFormat/>
    <w:rsid w:val="006d2e8f"/>
    <w:pPr/>
    <w:rPr/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Application>LibreOffice/7.4.6.2$Windows_X86_64 LibreOffice_project/5b1f5509c2decdade7fda905e3e1429a67acd63d</Application>
  <AppVersion>15.0000</AppVersion>
  <Pages>2</Pages>
  <Words>1226</Words>
  <Characters>1250</Characters>
  <CharactersWithSpaces>1421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2021-06-15T00:00:00Z</dcterms:created>
  <dc:creator>犬山市</dc:creator>
  <dc:description/>
  <dc:language>ja-JP</dc:language>
  <cp:lastModifiedBy/>
  <cp:lastPrinted>2023-07-13T12:33:00Z</cp:lastPrinted>
  <dcterms:modified xsi:type="dcterms:W3CDTF">2024-04-16T10:46:29Z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